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 xml:space="preserve">Vehicle type (electric / diesel locomotive, EMU, DMU, </w:t>
            </w:r>
            <w:proofErr w:type="spellStart"/>
            <w:r w:rsidRPr="00E52C5C">
              <w:rPr>
                <w:rFonts w:cs="Arial"/>
                <w:sz w:val="20"/>
                <w:szCs w:val="20"/>
              </w:rPr>
              <w:t>draisine</w:t>
            </w:r>
            <w:proofErr w:type="spellEnd"/>
            <w:r w:rsidRPr="00E52C5C">
              <w:rPr>
                <w:rFonts w:cs="Arial"/>
                <w:sz w:val="20"/>
                <w:szCs w:val="20"/>
              </w:rPr>
              <w: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bookmarkStart w:id="0" w:name="_GoBack"/>
      <w:bookmarkEnd w:id="0"/>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D5" w:rsidRDefault="002A67D5">
      <w:r>
        <w:separator/>
      </w:r>
    </w:p>
  </w:endnote>
  <w:endnote w:type="continuationSeparator" w:id="0">
    <w:p w:rsidR="002A67D5" w:rsidRDefault="002A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F1320D">
      <w:rPr>
        <w:sz w:val="20"/>
        <w:szCs w:val="20"/>
      </w:rPr>
      <w:t xml:space="preserve">: </w:t>
    </w:r>
    <w:r>
      <w:rPr>
        <w:sz w:val="20"/>
        <w:szCs w:val="20"/>
      </w:rPr>
      <w:t>0</w:t>
    </w:r>
    <w:r w:rsidR="00B316FA">
      <w:rPr>
        <w:sz w:val="20"/>
        <w:szCs w:val="20"/>
      </w:rPr>
      <w:t>7</w:t>
    </w:r>
    <w:r w:rsidR="00F1320D">
      <w:rPr>
        <w:sz w:val="20"/>
        <w:szCs w:val="20"/>
      </w:rPr>
      <w:t>.</w:t>
    </w:r>
    <w:r>
      <w:rPr>
        <w:sz w:val="20"/>
        <w:szCs w:val="20"/>
      </w:rPr>
      <w:t>01</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20</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B316FA">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B316FA">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D5" w:rsidRDefault="002A67D5">
      <w:r>
        <w:separator/>
      </w:r>
    </w:p>
  </w:footnote>
  <w:footnote w:type="continuationSeparator" w:id="0">
    <w:p w:rsidR="002A67D5" w:rsidRDefault="002A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20</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607A1B">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D78AB"/>
    <w:rsid w:val="009E21B7"/>
    <w:rsid w:val="00A05BBB"/>
    <w:rsid w:val="00A2464F"/>
    <w:rsid w:val="00A611E7"/>
    <w:rsid w:val="00A616C7"/>
    <w:rsid w:val="00AC5216"/>
    <w:rsid w:val="00AE148F"/>
    <w:rsid w:val="00B07AC2"/>
    <w:rsid w:val="00B316FA"/>
    <w:rsid w:val="00B3767E"/>
    <w:rsid w:val="00B55F0A"/>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E01686"/>
    <w:rsid w:val="00E0759F"/>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336C4-2A8F-4F22-B3A9-BEC098F9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Zagniński Wojciech</cp:lastModifiedBy>
  <cp:revision>31</cp:revision>
  <cp:lastPrinted>2019-03-27T10:06:00Z</cp:lastPrinted>
  <dcterms:created xsi:type="dcterms:W3CDTF">2018-08-16T08:48:00Z</dcterms:created>
  <dcterms:modified xsi:type="dcterms:W3CDTF">2020-01-07T13:07:00Z</dcterms:modified>
</cp:coreProperties>
</file>